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A" w:rsidRPr="006E62D7" w:rsidRDefault="0000051E" w:rsidP="006E62D7">
      <w:pPr>
        <w:ind w:left="-360"/>
        <w:rPr>
          <w:rFonts w:ascii="Cambria" w:hAnsi="Cambria"/>
          <w:b/>
          <w:bCs/>
          <w:lang w:val="en-US"/>
        </w:rPr>
      </w:pPr>
      <w:r w:rsidRPr="006E62D7">
        <w:rPr>
          <w:rFonts w:ascii="Cambria" w:hAnsi="Cambria"/>
          <w:b/>
          <w:bCs/>
          <w:lang w:val="en-US"/>
        </w:rPr>
        <w:t>Ref: CO/</w:t>
      </w:r>
      <w:proofErr w:type="spellStart"/>
      <w:r w:rsidRPr="006E62D7">
        <w:rPr>
          <w:rFonts w:ascii="Cambria" w:hAnsi="Cambria"/>
          <w:b/>
          <w:bCs/>
          <w:lang w:val="en-US"/>
        </w:rPr>
        <w:t>Actl</w:t>
      </w:r>
      <w:proofErr w:type="spellEnd"/>
      <w:r w:rsidRPr="006E62D7">
        <w:rPr>
          <w:rFonts w:ascii="Cambria" w:hAnsi="Cambria"/>
          <w:b/>
          <w:bCs/>
          <w:lang w:val="en-US"/>
        </w:rPr>
        <w:t>/2021/AS-202011/A</w:t>
      </w:r>
      <w:r w:rsidR="009558D5">
        <w:rPr>
          <w:rFonts w:ascii="Cambria" w:hAnsi="Cambria"/>
          <w:b/>
          <w:bCs/>
          <w:lang w:val="en-US"/>
        </w:rPr>
        <w:t>5</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t>Date</w:t>
      </w:r>
      <w:proofErr w:type="gramStart"/>
      <w:r w:rsidR="00206263" w:rsidRPr="006E62D7">
        <w:rPr>
          <w:rFonts w:ascii="Cambria" w:hAnsi="Cambria"/>
          <w:b/>
          <w:bCs/>
          <w:lang w:val="en-US"/>
        </w:rPr>
        <w:t>:</w:t>
      </w:r>
      <w:r w:rsidR="00B77841">
        <w:rPr>
          <w:rFonts w:ascii="Cambria" w:hAnsi="Cambria"/>
          <w:b/>
          <w:bCs/>
          <w:lang w:val="en-US"/>
        </w:rPr>
        <w:t>23</w:t>
      </w:r>
      <w:r w:rsidR="00206263" w:rsidRPr="006E62D7">
        <w:rPr>
          <w:rFonts w:ascii="Cambria" w:hAnsi="Cambria"/>
          <w:b/>
          <w:bCs/>
          <w:lang w:val="en-US"/>
        </w:rPr>
        <w:t>.11.2020</w:t>
      </w:r>
      <w:proofErr w:type="gramEnd"/>
    </w:p>
    <w:p w:rsidR="00206263" w:rsidRDefault="00206263" w:rsidP="00206263">
      <w:pPr>
        <w:rPr>
          <w:rFonts w:ascii="Cambria" w:hAnsi="Cambria"/>
          <w:lang w:val="en-US"/>
        </w:rPr>
      </w:pPr>
    </w:p>
    <w:p w:rsidR="00206263" w:rsidRPr="006E62D7" w:rsidRDefault="00206263" w:rsidP="006E62D7">
      <w:pPr>
        <w:spacing w:after="0"/>
        <w:jc w:val="center"/>
        <w:rPr>
          <w:rFonts w:ascii="Cambria" w:hAnsi="Cambria"/>
          <w:b/>
          <w:bCs/>
          <w:color w:val="0070C0"/>
          <w:sz w:val="28"/>
          <w:szCs w:val="28"/>
          <w:lang w:val="en-US"/>
        </w:rPr>
      </w:pPr>
      <w:r w:rsidRPr="006E62D7">
        <w:rPr>
          <w:rFonts w:ascii="Cambria" w:hAnsi="Cambria"/>
          <w:b/>
          <w:bCs/>
          <w:color w:val="0070C0"/>
          <w:sz w:val="28"/>
          <w:szCs w:val="28"/>
          <w:lang w:val="en-US"/>
        </w:rPr>
        <w:t xml:space="preserve">ANNEXURE </w:t>
      </w:r>
      <w:r w:rsidR="009558D5">
        <w:rPr>
          <w:rFonts w:ascii="Cambria" w:hAnsi="Cambria"/>
          <w:b/>
          <w:bCs/>
          <w:color w:val="0070C0"/>
          <w:sz w:val="28"/>
          <w:szCs w:val="28"/>
          <w:lang w:val="en-US"/>
        </w:rPr>
        <w:t>V</w:t>
      </w:r>
    </w:p>
    <w:p w:rsidR="008D17AB" w:rsidRPr="006E62D7" w:rsidRDefault="009558D5" w:rsidP="006E62D7">
      <w:pPr>
        <w:spacing w:after="0"/>
        <w:jc w:val="center"/>
        <w:rPr>
          <w:rFonts w:ascii="Cambria" w:hAnsi="Cambria"/>
          <w:b/>
          <w:bCs/>
          <w:color w:val="0070C0"/>
          <w:lang w:val="en-US"/>
        </w:rPr>
      </w:pPr>
      <w:r>
        <w:rPr>
          <w:rFonts w:ascii="Cambria" w:hAnsi="Cambria"/>
          <w:b/>
          <w:bCs/>
          <w:color w:val="0070C0"/>
          <w:sz w:val="28"/>
          <w:szCs w:val="28"/>
          <w:lang w:val="en-US"/>
        </w:rPr>
        <w:t xml:space="preserve">COMPLIANCE SHEET FOR </w:t>
      </w:r>
      <w:r w:rsidR="008D17AB" w:rsidRPr="006E62D7">
        <w:rPr>
          <w:rFonts w:ascii="Cambria" w:hAnsi="Cambria"/>
          <w:b/>
          <w:bCs/>
          <w:color w:val="0070C0"/>
          <w:sz w:val="28"/>
          <w:szCs w:val="28"/>
          <w:lang w:val="en-US"/>
        </w:rPr>
        <w:t>PRE-QUALIFICATION CRITERIA</w:t>
      </w:r>
    </w:p>
    <w:p w:rsidR="006E62D7" w:rsidRPr="006E62D7" w:rsidRDefault="00382296" w:rsidP="006E62D7">
      <w:pPr>
        <w:spacing w:after="0"/>
        <w:jc w:val="center"/>
        <w:rPr>
          <w:rFonts w:ascii="Cambria" w:hAnsi="Cambria"/>
          <w:b/>
          <w:bCs/>
          <w:color w:val="323E4F" w:themeColor="text2" w:themeShade="BF"/>
          <w:lang w:val="en-US"/>
        </w:rPr>
      </w:pPr>
      <w:r>
        <w:rPr>
          <w:rFonts w:ascii="Cambria" w:hAnsi="Cambria"/>
          <w:b/>
          <w:bCs/>
          <w:noProof/>
          <w:color w:val="44546A" w:themeColor="text2"/>
          <w:lang w:val="en-US"/>
        </w:rPr>
        <w:pict>
          <v:line id="Straight Connector 2" o:spid="_x0000_s1026" style="position:absolute;left:0;text-align:left;flip:y;z-index:251659264;visibility:visible;mso-position-horizontal:center;mso-position-horizontal-relative:margin;mso-width-relative:margin;mso-height-relative:margin" from="0,4.8pt" to="372.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" strokecolor="#ffc000" strokeweight="1pt">
            <v:stroke joinstyle="miter"/>
            <w10:wrap anchorx="margin"/>
          </v:line>
        </w:pict>
      </w:r>
    </w:p>
    <w:p w:rsidR="00206263" w:rsidRPr="006E62D7" w:rsidRDefault="00206263" w:rsidP="00206263">
      <w:pPr>
        <w:spacing w:after="0"/>
        <w:jc w:val="center"/>
        <w:rPr>
          <w:rFonts w:ascii="Cambria" w:eastAsia="Times New Roman" w:hAnsi="Cambria" w:cs="Courier New"/>
          <w:bCs/>
          <w:color w:val="2F5496" w:themeColor="accent1" w:themeShade="BF"/>
          <w:sz w:val="24"/>
          <w:lang w:val="en-US" w:eastAsia="en-IN"/>
        </w:rPr>
      </w:pPr>
      <w:r w:rsidRPr="006E62D7">
        <w:rPr>
          <w:rFonts w:ascii="Cambria" w:eastAsia="Times New Roman" w:hAnsi="Cambria" w:cs="Courier New"/>
          <w:bCs/>
          <w:color w:val="2F5496" w:themeColor="accent1" w:themeShade="BF"/>
          <w:sz w:val="24"/>
          <w:lang w:val="en-US" w:eastAsia="en-IN"/>
        </w:rPr>
        <w:t>RFP for Integrated Suite of Actuarial Software for Life Insurance</w:t>
      </w:r>
      <w:r w:rsidR="007878A5">
        <w:rPr>
          <w:rFonts w:ascii="Cambria" w:eastAsia="Times New Roman" w:hAnsi="Cambria" w:cs="Courier New"/>
          <w:bCs/>
          <w:color w:val="2F5496" w:themeColor="accent1" w:themeShade="BF"/>
          <w:sz w:val="24"/>
          <w:lang w:val="en-US" w:eastAsia="en-IN"/>
        </w:rPr>
        <w:t xml:space="preserve"> with Managed Cloud Services </w:t>
      </w:r>
    </w:p>
    <w:p w:rsidR="00206263" w:rsidRPr="006E62D7" w:rsidRDefault="00206263" w:rsidP="00206263">
      <w:pPr>
        <w:spacing w:after="0"/>
        <w:jc w:val="center"/>
        <w:rPr>
          <w:rFonts w:ascii="Cambria" w:hAnsi="Cambria"/>
          <w:bCs/>
          <w:color w:val="2F5496" w:themeColor="accent1" w:themeShade="BF"/>
          <w:lang w:val="en-US"/>
        </w:rPr>
      </w:pPr>
      <w:r w:rsidRPr="006E62D7">
        <w:rPr>
          <w:rFonts w:ascii="Cambria" w:eastAsia="Times New Roman" w:hAnsi="Cambria" w:cs="Courier New"/>
          <w:bCs/>
          <w:color w:val="2F5496" w:themeColor="accent1" w:themeShade="BF"/>
          <w:sz w:val="24"/>
          <w:lang w:val="en-US" w:eastAsia="en-IN"/>
        </w:rPr>
        <w:t xml:space="preserve">Ref: </w:t>
      </w:r>
      <w:r w:rsidRPr="006E62D7">
        <w:rPr>
          <w:rFonts w:ascii="Cambria" w:hAnsi="Cambria"/>
          <w:bCs/>
          <w:color w:val="2F5496" w:themeColor="accent1" w:themeShade="BF"/>
          <w:lang w:val="en-US"/>
        </w:rPr>
        <w:t>CO/</w:t>
      </w:r>
      <w:proofErr w:type="spellStart"/>
      <w:r w:rsidRPr="006E62D7">
        <w:rPr>
          <w:rFonts w:ascii="Cambria" w:hAnsi="Cambria"/>
          <w:bCs/>
          <w:color w:val="2F5496" w:themeColor="accent1" w:themeShade="BF"/>
          <w:lang w:val="en-US"/>
        </w:rPr>
        <w:t>Actl</w:t>
      </w:r>
      <w:proofErr w:type="spellEnd"/>
      <w:r w:rsidRPr="006E62D7">
        <w:rPr>
          <w:rFonts w:ascii="Cambria" w:hAnsi="Cambria"/>
          <w:bCs/>
          <w:color w:val="2F5496" w:themeColor="accent1" w:themeShade="BF"/>
          <w:lang w:val="en-US"/>
        </w:rPr>
        <w:t>/2021/AS-202011/RFP</w:t>
      </w:r>
    </w:p>
    <w:p w:rsidR="00206263" w:rsidRDefault="00206263" w:rsidP="00206263">
      <w:pPr>
        <w:spacing w:after="0"/>
        <w:rPr>
          <w:rFonts w:ascii="Cambria" w:hAnsi="Cambria"/>
          <w:lang w:val="en-US"/>
        </w:rPr>
      </w:pPr>
    </w:p>
    <w:tbl>
      <w:tblPr>
        <w:tblStyle w:val="GridTable6ColorfulAccent5"/>
        <w:tblW w:w="10080" w:type="dxa"/>
        <w:tblInd w:w="-545" w:type="dxa"/>
        <w:tblLook w:val="0620" w:firstRow="1" w:lastRow="0" w:firstColumn="0" w:lastColumn="0" w:noHBand="1" w:noVBand="1"/>
      </w:tblPr>
      <w:tblGrid>
        <w:gridCol w:w="528"/>
        <w:gridCol w:w="1553"/>
        <w:gridCol w:w="3949"/>
        <w:gridCol w:w="4050"/>
      </w:tblGrid>
      <w:tr w:rsidR="008D17AB" w:rsidRPr="008D17AB" w:rsidTr="009558D5">
        <w:trPr>
          <w:cnfStyle w:val="100000000000" w:firstRow="1" w:lastRow="0" w:firstColumn="0" w:lastColumn="0" w:oddVBand="0" w:evenVBand="0" w:oddHBand="0" w:evenHBand="0" w:firstRowFirstColumn="0" w:firstRowLastColumn="0" w:lastRowFirstColumn="0" w:lastRowLastColumn="0"/>
          <w:tblHeader/>
        </w:trPr>
        <w:tc>
          <w:tcPr>
            <w:tcW w:w="528" w:type="dxa"/>
            <w:shd w:val="clear" w:color="auto" w:fill="D5DCE4" w:themeFill="text2" w:themeFillTint="33"/>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w:t>
            </w:r>
          </w:p>
        </w:tc>
        <w:tc>
          <w:tcPr>
            <w:tcW w:w="1553" w:type="dxa"/>
            <w:shd w:val="clear" w:color="auto" w:fill="D5DCE4" w:themeFill="text2" w:themeFillTint="33"/>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Basic Requirement</w:t>
            </w:r>
          </w:p>
        </w:tc>
        <w:tc>
          <w:tcPr>
            <w:tcW w:w="3949" w:type="dxa"/>
            <w:shd w:val="clear" w:color="auto" w:fill="D5DCE4" w:themeFill="text2" w:themeFillTint="33"/>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 xml:space="preserve">Specific </w:t>
            </w:r>
            <w:r w:rsidR="00043B57" w:rsidRPr="00043B57">
              <w:rPr>
                <w:rFonts w:ascii="Cambria" w:hAnsi="Cambria"/>
                <w:color w:val="000000" w:themeColor="text1"/>
                <w:lang w:val="en-US"/>
              </w:rPr>
              <w:t>R</w:t>
            </w:r>
            <w:r w:rsidRPr="008D17AB">
              <w:rPr>
                <w:rFonts w:ascii="Cambria" w:hAnsi="Cambria"/>
                <w:color w:val="000000" w:themeColor="text1"/>
                <w:lang w:val="en-US"/>
              </w:rPr>
              <w:t>equirements</w:t>
            </w:r>
          </w:p>
        </w:tc>
        <w:tc>
          <w:tcPr>
            <w:tcW w:w="4050" w:type="dxa"/>
            <w:shd w:val="clear" w:color="auto" w:fill="D5DCE4" w:themeFill="text2" w:themeFillTint="33"/>
            <w:vAlign w:val="center"/>
          </w:tcPr>
          <w:p w:rsidR="008D17AB" w:rsidRPr="008D17AB" w:rsidRDefault="009558D5" w:rsidP="00043B57">
            <w:pPr>
              <w:spacing w:line="259" w:lineRule="auto"/>
              <w:jc w:val="center"/>
              <w:rPr>
                <w:rFonts w:ascii="Cambria" w:hAnsi="Cambria"/>
                <w:color w:val="000000" w:themeColor="text1"/>
                <w:lang w:val="en-US"/>
              </w:rPr>
            </w:pPr>
            <w:r>
              <w:rPr>
                <w:rFonts w:ascii="Cambria" w:hAnsi="Cambria"/>
                <w:color w:val="000000" w:themeColor="text1"/>
                <w:lang w:val="en-US"/>
              </w:rPr>
              <w:t>Bidder’s Response</w:t>
            </w:r>
            <w:r w:rsidR="004E7493">
              <w:rPr>
                <w:rFonts w:ascii="Cambria" w:hAnsi="Cambria"/>
                <w:color w:val="000000" w:themeColor="text1"/>
                <w:lang w:val="en-US"/>
              </w:rPr>
              <w:t xml:space="preserve"> </w:t>
            </w:r>
            <w:r w:rsidR="004E7493" w:rsidRPr="004E7493">
              <w:rPr>
                <w:rFonts w:ascii="Cambria" w:hAnsi="Cambria"/>
                <w:color w:val="000000" w:themeColor="text1"/>
                <w:lang w:val="en-US"/>
              </w:rPr>
              <w:t>with supporting documentary evidences and implementation references.</w:t>
            </w:r>
          </w:p>
        </w:tc>
      </w:tr>
      <w:tr w:rsidR="008D17AB" w:rsidRPr="008D17AB" w:rsidTr="009558D5">
        <w:trPr>
          <w:trHeight w:val="1728"/>
        </w:trPr>
        <w:tc>
          <w:tcPr>
            <w:tcW w:w="528"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1</w:t>
            </w:r>
          </w:p>
        </w:tc>
        <w:tc>
          <w:tcPr>
            <w:tcW w:w="1553" w:type="dxa"/>
            <w:vAlign w:val="center"/>
          </w:tcPr>
          <w:p w:rsidR="008D17AB" w:rsidRPr="008D17AB" w:rsidRDefault="008D17AB" w:rsidP="00043B57">
            <w:pPr>
              <w:spacing w:line="259" w:lineRule="auto"/>
              <w:jc w:val="center"/>
              <w:rPr>
                <w:rFonts w:ascii="Cambria" w:hAnsi="Cambria"/>
                <w:color w:val="000000" w:themeColor="text1"/>
                <w:lang w:val="en-US"/>
              </w:rPr>
            </w:pPr>
            <w:r w:rsidRPr="00043B57">
              <w:rPr>
                <w:rFonts w:ascii="Cambria" w:hAnsi="Cambria"/>
                <w:color w:val="000000" w:themeColor="text1"/>
                <w:lang w:val="en-US"/>
              </w:rPr>
              <w:t>Product Profile</w:t>
            </w:r>
          </w:p>
        </w:tc>
        <w:tc>
          <w:tcPr>
            <w:tcW w:w="3949" w:type="dxa"/>
            <w:vAlign w:val="center"/>
          </w:tcPr>
          <w:p w:rsidR="008D17AB" w:rsidRPr="008D17AB" w:rsidRDefault="008D17AB" w:rsidP="009558D5">
            <w:pPr>
              <w:spacing w:line="259" w:lineRule="auto"/>
              <w:jc w:val="both"/>
              <w:rPr>
                <w:rFonts w:ascii="Cambria" w:hAnsi="Cambria"/>
                <w:color w:val="000000" w:themeColor="text1"/>
                <w:lang w:val="en-US"/>
              </w:rPr>
            </w:pPr>
            <w:r w:rsidRPr="008D17AB">
              <w:rPr>
                <w:rFonts w:ascii="Cambria" w:hAnsi="Cambria"/>
                <w:color w:val="000000" w:themeColor="text1"/>
                <w:lang w:val="en-US"/>
              </w:rPr>
              <w:t xml:space="preserve">Market Availability of the Proposed integrated suite of actuarial software must be </w:t>
            </w:r>
            <w:r w:rsidRPr="00043B57">
              <w:rPr>
                <w:rFonts w:ascii="Cambria" w:hAnsi="Cambria"/>
                <w:color w:val="000000" w:themeColor="text1"/>
                <w:lang w:val="en-US"/>
              </w:rPr>
              <w:t>with &gt; 10</w:t>
            </w:r>
            <w:r w:rsidRPr="008D17AB">
              <w:rPr>
                <w:rFonts w:ascii="Cambria" w:hAnsi="Cambria"/>
                <w:color w:val="000000" w:themeColor="text1"/>
                <w:lang w:val="en-US"/>
              </w:rPr>
              <w:t xml:space="preserve"> years in Life Insurance. </w:t>
            </w:r>
          </w:p>
        </w:tc>
        <w:tc>
          <w:tcPr>
            <w:tcW w:w="4050" w:type="dxa"/>
            <w:vAlign w:val="center"/>
          </w:tcPr>
          <w:p w:rsidR="008D17AB" w:rsidRPr="008D17AB" w:rsidRDefault="008D17AB" w:rsidP="00043B57">
            <w:pPr>
              <w:spacing w:line="259" w:lineRule="auto"/>
              <w:rPr>
                <w:rFonts w:ascii="Cambria" w:hAnsi="Cambria"/>
                <w:color w:val="000000" w:themeColor="text1"/>
                <w:lang w:val="en-US"/>
              </w:rPr>
            </w:pPr>
          </w:p>
        </w:tc>
      </w:tr>
      <w:tr w:rsidR="008D17AB" w:rsidRPr="008D17AB" w:rsidTr="009558D5">
        <w:trPr>
          <w:trHeight w:val="1440"/>
        </w:trPr>
        <w:tc>
          <w:tcPr>
            <w:tcW w:w="528"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2</w:t>
            </w:r>
          </w:p>
        </w:tc>
        <w:tc>
          <w:tcPr>
            <w:tcW w:w="1553"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Financials</w:t>
            </w:r>
          </w:p>
        </w:tc>
        <w:tc>
          <w:tcPr>
            <w:tcW w:w="3949" w:type="dxa"/>
            <w:vAlign w:val="center"/>
          </w:tcPr>
          <w:p w:rsidR="008D17AB" w:rsidRPr="008D17AB" w:rsidRDefault="008D17AB" w:rsidP="009558D5">
            <w:pPr>
              <w:spacing w:line="259" w:lineRule="auto"/>
              <w:jc w:val="both"/>
              <w:rPr>
                <w:rFonts w:ascii="Cambria" w:hAnsi="Cambria"/>
                <w:color w:val="000000" w:themeColor="text1"/>
                <w:lang w:val="en-US"/>
              </w:rPr>
            </w:pPr>
            <w:r w:rsidRPr="008D17AB">
              <w:rPr>
                <w:rFonts w:ascii="Cambria" w:hAnsi="Cambria"/>
                <w:color w:val="000000" w:themeColor="text1"/>
                <w:lang w:val="en-US"/>
              </w:rPr>
              <w:t>The last audited Financial of the Actuarial Software OEM’s must demonstrate Financial stability, financial standing and capacity.</w:t>
            </w:r>
          </w:p>
        </w:tc>
        <w:tc>
          <w:tcPr>
            <w:tcW w:w="4050" w:type="dxa"/>
            <w:vAlign w:val="center"/>
          </w:tcPr>
          <w:p w:rsidR="008D17AB" w:rsidRPr="008D17AB" w:rsidRDefault="008D17AB" w:rsidP="00043B57">
            <w:pPr>
              <w:spacing w:line="259" w:lineRule="auto"/>
              <w:rPr>
                <w:rFonts w:ascii="Cambria" w:hAnsi="Cambria"/>
                <w:color w:val="000000" w:themeColor="text1"/>
                <w:lang w:val="en-US"/>
              </w:rPr>
            </w:pPr>
          </w:p>
        </w:tc>
      </w:tr>
      <w:tr w:rsidR="008D17AB" w:rsidRPr="008D17AB" w:rsidTr="009558D5">
        <w:trPr>
          <w:trHeight w:val="2880"/>
        </w:trPr>
        <w:tc>
          <w:tcPr>
            <w:tcW w:w="528"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3</w:t>
            </w:r>
          </w:p>
        </w:tc>
        <w:tc>
          <w:tcPr>
            <w:tcW w:w="1553" w:type="dxa"/>
            <w:vAlign w:val="center"/>
          </w:tcPr>
          <w:p w:rsidR="008D17AB" w:rsidRPr="008D17AB" w:rsidRDefault="008D17AB" w:rsidP="00043B57">
            <w:pPr>
              <w:spacing w:line="259" w:lineRule="auto"/>
              <w:jc w:val="center"/>
              <w:rPr>
                <w:rFonts w:ascii="Cambria" w:hAnsi="Cambria"/>
                <w:color w:val="000000" w:themeColor="text1"/>
                <w:lang w:val="en-US"/>
              </w:rPr>
            </w:pPr>
            <w:r w:rsidRPr="00043B57">
              <w:rPr>
                <w:rFonts w:ascii="Cambria" w:hAnsi="Cambria"/>
                <w:color w:val="000000" w:themeColor="text1"/>
                <w:lang w:val="en-US"/>
              </w:rPr>
              <w:t>Product Profile</w:t>
            </w:r>
          </w:p>
        </w:tc>
        <w:tc>
          <w:tcPr>
            <w:tcW w:w="3949" w:type="dxa"/>
            <w:vAlign w:val="center"/>
          </w:tcPr>
          <w:p w:rsidR="007878A5" w:rsidRPr="00AF3CB5" w:rsidRDefault="007878A5" w:rsidP="007878A5">
            <w:pPr>
              <w:spacing w:line="259" w:lineRule="auto"/>
              <w:jc w:val="both"/>
              <w:rPr>
                <w:rFonts w:ascii="Cambria" w:hAnsi="Cambria"/>
                <w:color w:val="000000" w:themeColor="text1"/>
                <w:lang w:val="en-US"/>
              </w:rPr>
            </w:pPr>
            <w:r w:rsidRPr="00AF3CB5">
              <w:rPr>
                <w:rFonts w:ascii="Cambria" w:hAnsi="Cambria"/>
                <w:color w:val="000000" w:themeColor="text1"/>
                <w:lang w:val="en-US"/>
              </w:rPr>
              <w:t>Actuarial software should have been be tried and tested by listed and unlisted life insurance companies in India.</w:t>
            </w:r>
          </w:p>
          <w:p w:rsidR="007878A5" w:rsidRPr="00AF3CB5" w:rsidRDefault="007878A5" w:rsidP="007878A5">
            <w:pPr>
              <w:spacing w:line="259" w:lineRule="auto"/>
              <w:jc w:val="both"/>
              <w:rPr>
                <w:rFonts w:ascii="Cambria" w:hAnsi="Cambria"/>
                <w:color w:val="000000" w:themeColor="text1"/>
                <w:lang w:val="en-US"/>
              </w:rPr>
            </w:pPr>
          </w:p>
          <w:p w:rsidR="007878A5" w:rsidRPr="00AF3CB5" w:rsidRDefault="007878A5" w:rsidP="007878A5">
            <w:pPr>
              <w:spacing w:line="259" w:lineRule="auto"/>
              <w:jc w:val="both"/>
              <w:rPr>
                <w:rFonts w:ascii="Cambria" w:hAnsi="Cambria"/>
                <w:color w:val="000000" w:themeColor="text1"/>
                <w:lang w:val="en-US"/>
              </w:rPr>
            </w:pPr>
            <w:r w:rsidRPr="00AF3CB5">
              <w:rPr>
                <w:rFonts w:ascii="Cambria" w:hAnsi="Cambria"/>
                <w:color w:val="000000" w:themeColor="text1"/>
                <w:lang w:val="en-US"/>
              </w:rPr>
              <w:t xml:space="preserve">The proposed Actuarial Software should have been successfully  </w:t>
            </w:r>
          </w:p>
          <w:p w:rsidR="007878A5" w:rsidRDefault="007878A5" w:rsidP="007878A5">
            <w:pPr>
              <w:spacing w:line="259" w:lineRule="auto"/>
              <w:jc w:val="both"/>
              <w:rPr>
                <w:rFonts w:ascii="Cambria" w:hAnsi="Cambria"/>
                <w:color w:val="000000" w:themeColor="text1"/>
                <w:lang w:val="en-US"/>
              </w:rPr>
            </w:pPr>
            <w:r w:rsidRPr="00AF3CB5">
              <w:rPr>
                <w:rFonts w:ascii="Cambria" w:hAnsi="Cambria"/>
                <w:color w:val="000000" w:themeColor="text1"/>
                <w:lang w:val="en-US"/>
              </w:rPr>
              <w:t xml:space="preserve">Implemented and currently under active usage in  minimum 3 Life Insurance companies in India as on date of this RFP </w:t>
            </w:r>
          </w:p>
          <w:p w:rsidR="008D17AB" w:rsidRPr="008D17AB" w:rsidRDefault="007878A5" w:rsidP="007878A5">
            <w:pPr>
              <w:spacing w:line="259" w:lineRule="auto"/>
              <w:jc w:val="both"/>
              <w:rPr>
                <w:rFonts w:ascii="Cambria" w:hAnsi="Cambria"/>
                <w:color w:val="000000" w:themeColor="text1"/>
                <w:lang w:val="en-US"/>
              </w:rPr>
            </w:pPr>
            <w:r w:rsidRPr="00AF3CB5">
              <w:rPr>
                <w:rFonts w:ascii="Cambria" w:hAnsi="Cambria"/>
                <w:color w:val="000000" w:themeColor="text1"/>
                <w:lang w:val="en-US"/>
              </w:rPr>
              <w:t xml:space="preserve"> (implementations similar to the modules requested by LIC)</w:t>
            </w:r>
          </w:p>
        </w:tc>
        <w:tc>
          <w:tcPr>
            <w:tcW w:w="4050" w:type="dxa"/>
            <w:vAlign w:val="center"/>
          </w:tcPr>
          <w:p w:rsidR="008D17AB" w:rsidRPr="008D17AB" w:rsidRDefault="008D17AB" w:rsidP="00043B57">
            <w:pPr>
              <w:spacing w:line="259" w:lineRule="auto"/>
              <w:rPr>
                <w:rFonts w:ascii="Cambria" w:hAnsi="Cambria"/>
                <w:color w:val="000000" w:themeColor="text1"/>
                <w:lang w:val="en-US"/>
              </w:rPr>
            </w:pPr>
          </w:p>
        </w:tc>
      </w:tr>
      <w:tr w:rsidR="008D17AB" w:rsidRPr="008D17AB" w:rsidTr="009558D5">
        <w:trPr>
          <w:trHeight w:val="2880"/>
        </w:trPr>
        <w:tc>
          <w:tcPr>
            <w:tcW w:w="528"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lastRenderedPageBreak/>
              <w:t>4</w:t>
            </w:r>
          </w:p>
        </w:tc>
        <w:tc>
          <w:tcPr>
            <w:tcW w:w="1553" w:type="dxa"/>
            <w:vAlign w:val="center"/>
          </w:tcPr>
          <w:p w:rsidR="008D17AB" w:rsidRPr="008D17AB" w:rsidRDefault="008D17AB" w:rsidP="00043B57">
            <w:pPr>
              <w:spacing w:line="259" w:lineRule="auto"/>
              <w:jc w:val="center"/>
              <w:rPr>
                <w:rFonts w:ascii="Cambria" w:hAnsi="Cambria"/>
                <w:color w:val="000000" w:themeColor="text1"/>
                <w:lang w:val="en-US"/>
              </w:rPr>
            </w:pPr>
            <w:r w:rsidRPr="00043B57">
              <w:rPr>
                <w:rFonts w:ascii="Cambria" w:hAnsi="Cambria"/>
                <w:color w:val="000000" w:themeColor="text1"/>
                <w:lang w:val="en-US"/>
              </w:rPr>
              <w:t>Product Profile</w:t>
            </w:r>
          </w:p>
        </w:tc>
        <w:tc>
          <w:tcPr>
            <w:tcW w:w="3949" w:type="dxa"/>
            <w:vAlign w:val="center"/>
          </w:tcPr>
          <w:p w:rsidR="008D17AB" w:rsidRPr="008D17AB" w:rsidRDefault="008D17AB" w:rsidP="009558D5">
            <w:pPr>
              <w:spacing w:line="259" w:lineRule="auto"/>
              <w:jc w:val="both"/>
              <w:rPr>
                <w:rFonts w:ascii="Cambria" w:hAnsi="Cambria"/>
                <w:color w:val="000000" w:themeColor="text1"/>
                <w:lang w:val="en-US"/>
              </w:rPr>
            </w:pPr>
            <w:r w:rsidRPr="008D17AB">
              <w:rPr>
                <w:rFonts w:ascii="Cambria" w:hAnsi="Cambria"/>
                <w:color w:val="000000" w:themeColor="text1"/>
                <w:lang w:val="en-US"/>
              </w:rPr>
              <w:t>Proposed Actuarial Software must have modules/libraries to cater to LICI’s requirements relating to works such as Indian Embedded Value (IEV) and connected requirements, valuation of policy liabilities, pricing of products and reporting for both Individual business and Group Business.</w:t>
            </w:r>
          </w:p>
        </w:tc>
        <w:tc>
          <w:tcPr>
            <w:tcW w:w="4050" w:type="dxa"/>
            <w:vAlign w:val="center"/>
          </w:tcPr>
          <w:p w:rsidR="008D17AB" w:rsidRPr="008D17AB" w:rsidRDefault="008D17AB" w:rsidP="00043B57">
            <w:pPr>
              <w:spacing w:line="259" w:lineRule="auto"/>
              <w:rPr>
                <w:rFonts w:ascii="Cambria" w:hAnsi="Cambria"/>
                <w:color w:val="000000" w:themeColor="text1"/>
                <w:lang w:val="en-US"/>
              </w:rPr>
            </w:pPr>
          </w:p>
        </w:tc>
      </w:tr>
      <w:tr w:rsidR="008D17AB" w:rsidRPr="008D17AB" w:rsidTr="009558D5">
        <w:trPr>
          <w:trHeight w:val="1440"/>
        </w:trPr>
        <w:tc>
          <w:tcPr>
            <w:tcW w:w="528"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5</w:t>
            </w:r>
          </w:p>
        </w:tc>
        <w:tc>
          <w:tcPr>
            <w:tcW w:w="1553" w:type="dxa"/>
            <w:vAlign w:val="center"/>
          </w:tcPr>
          <w:p w:rsidR="008D17AB" w:rsidRPr="008D17AB" w:rsidRDefault="006E62D7" w:rsidP="00043B57">
            <w:pPr>
              <w:spacing w:line="259" w:lineRule="auto"/>
              <w:jc w:val="center"/>
              <w:rPr>
                <w:rFonts w:ascii="Cambria" w:hAnsi="Cambria"/>
                <w:color w:val="000000" w:themeColor="text1"/>
                <w:lang w:val="en-US"/>
              </w:rPr>
            </w:pPr>
            <w:r w:rsidRPr="00043B57">
              <w:rPr>
                <w:rFonts w:ascii="Cambria" w:hAnsi="Cambria"/>
                <w:color w:val="000000" w:themeColor="text1"/>
                <w:lang w:val="en-US"/>
              </w:rPr>
              <w:t>Product Profile</w:t>
            </w:r>
          </w:p>
        </w:tc>
        <w:tc>
          <w:tcPr>
            <w:tcW w:w="3949" w:type="dxa"/>
            <w:vAlign w:val="center"/>
          </w:tcPr>
          <w:p w:rsidR="008D17AB" w:rsidRPr="008D17AB" w:rsidRDefault="008D17AB" w:rsidP="009558D5">
            <w:pPr>
              <w:spacing w:line="259" w:lineRule="auto"/>
              <w:jc w:val="both"/>
              <w:rPr>
                <w:rFonts w:ascii="Cambria" w:hAnsi="Cambria"/>
                <w:color w:val="000000" w:themeColor="text1"/>
                <w:lang w:val="en-US"/>
              </w:rPr>
            </w:pPr>
            <w:r w:rsidRPr="00043B57">
              <w:rPr>
                <w:rFonts w:ascii="Cambria" w:hAnsi="Cambria"/>
                <w:color w:val="000000" w:themeColor="text1"/>
                <w:lang w:val="en-US"/>
              </w:rPr>
              <w:t>Proposed Actuarial</w:t>
            </w:r>
            <w:r w:rsidRPr="008D17AB">
              <w:rPr>
                <w:rFonts w:ascii="Cambria" w:hAnsi="Cambria"/>
                <w:color w:val="000000" w:themeColor="text1"/>
                <w:lang w:val="en-US"/>
              </w:rPr>
              <w:t xml:space="preserve"> Software must be compatible for meeting   forthcoming requirements such as IND AS 117, Risk Based Capital etc.</w:t>
            </w:r>
          </w:p>
        </w:tc>
        <w:tc>
          <w:tcPr>
            <w:tcW w:w="4050" w:type="dxa"/>
            <w:vAlign w:val="center"/>
          </w:tcPr>
          <w:p w:rsidR="008D17AB" w:rsidRPr="008D17AB" w:rsidRDefault="008D17AB" w:rsidP="00043B57">
            <w:pPr>
              <w:spacing w:line="259" w:lineRule="auto"/>
              <w:rPr>
                <w:rFonts w:ascii="Cambria" w:hAnsi="Cambria"/>
                <w:color w:val="000000" w:themeColor="text1"/>
                <w:lang w:val="en-US"/>
              </w:rPr>
            </w:pPr>
          </w:p>
        </w:tc>
      </w:tr>
      <w:tr w:rsidR="008D17AB" w:rsidRPr="008D17AB" w:rsidTr="009558D5">
        <w:trPr>
          <w:trHeight w:val="1440"/>
        </w:trPr>
        <w:tc>
          <w:tcPr>
            <w:tcW w:w="528"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6</w:t>
            </w:r>
          </w:p>
        </w:tc>
        <w:tc>
          <w:tcPr>
            <w:tcW w:w="1553" w:type="dxa"/>
            <w:vAlign w:val="center"/>
          </w:tcPr>
          <w:p w:rsidR="008D17AB" w:rsidRPr="008D17AB" w:rsidRDefault="006E62D7" w:rsidP="00043B57">
            <w:pPr>
              <w:spacing w:line="259" w:lineRule="auto"/>
              <w:jc w:val="center"/>
              <w:rPr>
                <w:rFonts w:ascii="Cambria" w:hAnsi="Cambria"/>
                <w:color w:val="000000" w:themeColor="text1"/>
                <w:lang w:val="en-US"/>
              </w:rPr>
            </w:pPr>
            <w:r w:rsidRPr="00043B57">
              <w:rPr>
                <w:rFonts w:ascii="Cambria" w:hAnsi="Cambria"/>
                <w:color w:val="000000" w:themeColor="text1"/>
                <w:lang w:val="en-US"/>
              </w:rPr>
              <w:t>Product Profile</w:t>
            </w:r>
          </w:p>
        </w:tc>
        <w:tc>
          <w:tcPr>
            <w:tcW w:w="3949" w:type="dxa"/>
            <w:vAlign w:val="center"/>
          </w:tcPr>
          <w:p w:rsidR="008D17AB" w:rsidRPr="008D17AB" w:rsidRDefault="008D17AB" w:rsidP="009558D5">
            <w:pPr>
              <w:spacing w:line="259" w:lineRule="auto"/>
              <w:jc w:val="both"/>
              <w:rPr>
                <w:rFonts w:ascii="Cambria" w:hAnsi="Cambria"/>
                <w:color w:val="000000" w:themeColor="text1"/>
                <w:lang w:val="en-US"/>
              </w:rPr>
            </w:pPr>
            <w:r w:rsidRPr="008D17AB">
              <w:rPr>
                <w:rFonts w:ascii="Cambria" w:hAnsi="Cambria"/>
                <w:color w:val="000000" w:themeColor="text1"/>
                <w:lang w:val="en-US"/>
              </w:rPr>
              <w:t xml:space="preserve">Proposed Actuarial Software must have </w:t>
            </w:r>
            <w:r w:rsidRPr="00043B57">
              <w:rPr>
                <w:rFonts w:ascii="Cambria" w:hAnsi="Cambria"/>
                <w:color w:val="000000" w:themeColor="text1"/>
                <w:lang w:val="en-US"/>
              </w:rPr>
              <w:t>capabilities for</w:t>
            </w:r>
            <w:r w:rsidRPr="008D17AB">
              <w:rPr>
                <w:rFonts w:ascii="Cambria" w:hAnsi="Cambria"/>
                <w:color w:val="000000" w:themeColor="text1"/>
                <w:lang w:val="en-US"/>
              </w:rPr>
              <w:t xml:space="preserve"> handling </w:t>
            </w:r>
            <w:r w:rsidRPr="00043B57">
              <w:rPr>
                <w:rFonts w:ascii="Cambria" w:hAnsi="Cambria"/>
                <w:color w:val="000000" w:themeColor="text1"/>
                <w:lang w:val="en-US"/>
              </w:rPr>
              <w:t>broad requirement</w:t>
            </w:r>
            <w:r w:rsidRPr="008D17AB">
              <w:rPr>
                <w:rFonts w:ascii="Cambria" w:hAnsi="Cambria"/>
                <w:color w:val="000000" w:themeColor="text1"/>
                <w:lang w:val="en-US"/>
              </w:rPr>
              <w:t xml:space="preserve"> and scope of work</w:t>
            </w:r>
            <w:r w:rsidR="006E62D7" w:rsidRPr="00043B57">
              <w:rPr>
                <w:rFonts w:ascii="Cambria" w:hAnsi="Cambria"/>
                <w:color w:val="000000" w:themeColor="text1"/>
                <w:lang w:val="en-US"/>
              </w:rPr>
              <w:t xml:space="preserve"> which is </w:t>
            </w:r>
            <w:r w:rsidRPr="00043B57">
              <w:rPr>
                <w:rFonts w:ascii="Cambria" w:hAnsi="Cambria"/>
                <w:color w:val="000000" w:themeColor="text1"/>
                <w:lang w:val="en-US"/>
              </w:rPr>
              <w:t>detailed in</w:t>
            </w:r>
            <w:r w:rsidRPr="008D17AB">
              <w:rPr>
                <w:rFonts w:ascii="Cambria" w:hAnsi="Cambria"/>
                <w:color w:val="000000" w:themeColor="text1"/>
                <w:lang w:val="en-US"/>
              </w:rPr>
              <w:t xml:space="preserve"> section </w:t>
            </w:r>
            <w:r w:rsidR="006E62D7" w:rsidRPr="00043B57">
              <w:rPr>
                <w:rFonts w:ascii="Cambria" w:hAnsi="Cambria"/>
                <w:color w:val="000000" w:themeColor="text1"/>
                <w:lang w:val="en-US"/>
              </w:rPr>
              <w:t>7 of the RFP</w:t>
            </w:r>
            <w:r w:rsidRPr="008D17AB">
              <w:rPr>
                <w:rFonts w:ascii="Cambria" w:hAnsi="Cambria"/>
                <w:color w:val="000000" w:themeColor="text1"/>
                <w:lang w:val="en-US"/>
              </w:rPr>
              <w:t>.</w:t>
            </w:r>
          </w:p>
        </w:tc>
        <w:tc>
          <w:tcPr>
            <w:tcW w:w="4050" w:type="dxa"/>
            <w:vAlign w:val="center"/>
          </w:tcPr>
          <w:p w:rsidR="008D17AB" w:rsidRPr="008D17AB" w:rsidRDefault="008D17AB" w:rsidP="00043B57">
            <w:pPr>
              <w:spacing w:line="259" w:lineRule="auto"/>
              <w:rPr>
                <w:rFonts w:ascii="Cambria" w:hAnsi="Cambria"/>
                <w:color w:val="000000" w:themeColor="text1"/>
                <w:lang w:val="en-US"/>
              </w:rPr>
            </w:pPr>
          </w:p>
        </w:tc>
      </w:tr>
      <w:tr w:rsidR="008D17AB" w:rsidRPr="008D17AB" w:rsidTr="009558D5">
        <w:trPr>
          <w:trHeight w:val="1440"/>
        </w:trPr>
        <w:tc>
          <w:tcPr>
            <w:tcW w:w="528"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7</w:t>
            </w:r>
          </w:p>
        </w:tc>
        <w:tc>
          <w:tcPr>
            <w:tcW w:w="1553"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Product Profile</w:t>
            </w:r>
          </w:p>
        </w:tc>
        <w:tc>
          <w:tcPr>
            <w:tcW w:w="3949" w:type="dxa"/>
            <w:vAlign w:val="center"/>
          </w:tcPr>
          <w:p w:rsidR="008D17AB" w:rsidRPr="008D17AB" w:rsidRDefault="008D17AB" w:rsidP="00CF6664">
            <w:pPr>
              <w:spacing w:line="259" w:lineRule="auto"/>
              <w:rPr>
                <w:rFonts w:ascii="Cambria" w:hAnsi="Cambria"/>
                <w:color w:val="000000" w:themeColor="text1"/>
                <w:lang w:val="en-US"/>
              </w:rPr>
            </w:pPr>
            <w:r w:rsidRPr="008D17AB">
              <w:rPr>
                <w:rFonts w:ascii="Cambria" w:hAnsi="Cambria"/>
                <w:color w:val="000000" w:themeColor="text1"/>
                <w:lang w:val="en-US"/>
              </w:rPr>
              <w:t xml:space="preserve">Proposed Actuarial Software </w:t>
            </w:r>
            <w:r w:rsidRPr="00043B57">
              <w:rPr>
                <w:rFonts w:ascii="Cambria" w:hAnsi="Cambria"/>
                <w:color w:val="000000" w:themeColor="text1"/>
                <w:lang w:val="en-US"/>
              </w:rPr>
              <w:t>must offer Actuarial</w:t>
            </w:r>
            <w:r w:rsidR="00CF6664">
              <w:rPr>
                <w:rFonts w:ascii="Cambria" w:hAnsi="Cambria"/>
                <w:color w:val="000000" w:themeColor="text1"/>
                <w:lang w:val="en-US"/>
              </w:rPr>
              <w:t xml:space="preserve"> M</w:t>
            </w:r>
            <w:r w:rsidRPr="008D17AB">
              <w:rPr>
                <w:rFonts w:ascii="Cambria" w:hAnsi="Cambria"/>
                <w:color w:val="000000" w:themeColor="text1"/>
                <w:lang w:val="en-US"/>
              </w:rPr>
              <w:t>odeling-accelerator libraries and toolkits</w:t>
            </w:r>
          </w:p>
        </w:tc>
        <w:tc>
          <w:tcPr>
            <w:tcW w:w="4050" w:type="dxa"/>
            <w:vAlign w:val="center"/>
          </w:tcPr>
          <w:p w:rsidR="008D17AB" w:rsidRPr="008D17AB" w:rsidRDefault="008D17AB" w:rsidP="00043B57">
            <w:pPr>
              <w:spacing w:line="259" w:lineRule="auto"/>
              <w:rPr>
                <w:rFonts w:ascii="Cambria" w:hAnsi="Cambria"/>
                <w:color w:val="000000" w:themeColor="text1"/>
                <w:lang w:val="en-US"/>
              </w:rPr>
            </w:pPr>
          </w:p>
        </w:tc>
      </w:tr>
      <w:tr w:rsidR="008D17AB" w:rsidRPr="008D17AB" w:rsidTr="009558D5">
        <w:trPr>
          <w:trHeight w:val="1440"/>
        </w:trPr>
        <w:tc>
          <w:tcPr>
            <w:tcW w:w="528"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8</w:t>
            </w:r>
          </w:p>
        </w:tc>
        <w:tc>
          <w:tcPr>
            <w:tcW w:w="1553" w:type="dxa"/>
            <w:vAlign w:val="center"/>
          </w:tcPr>
          <w:p w:rsidR="008D17AB" w:rsidRPr="008D17AB" w:rsidRDefault="006E62D7" w:rsidP="00043B57">
            <w:pPr>
              <w:spacing w:line="259" w:lineRule="auto"/>
              <w:jc w:val="center"/>
              <w:rPr>
                <w:rFonts w:ascii="Cambria" w:hAnsi="Cambria"/>
                <w:color w:val="000000" w:themeColor="text1"/>
                <w:lang w:val="en-US"/>
              </w:rPr>
            </w:pPr>
            <w:r w:rsidRPr="00043B57">
              <w:rPr>
                <w:rFonts w:ascii="Cambria" w:hAnsi="Cambria"/>
                <w:color w:val="000000" w:themeColor="text1"/>
                <w:lang w:val="en-US"/>
              </w:rPr>
              <w:t>Product Support</w:t>
            </w:r>
          </w:p>
        </w:tc>
        <w:tc>
          <w:tcPr>
            <w:tcW w:w="3949" w:type="dxa"/>
            <w:vAlign w:val="center"/>
          </w:tcPr>
          <w:p w:rsidR="008D17AB" w:rsidRPr="008D17AB" w:rsidRDefault="008D17AB" w:rsidP="009558D5">
            <w:pPr>
              <w:spacing w:line="259" w:lineRule="auto"/>
              <w:jc w:val="both"/>
              <w:rPr>
                <w:rFonts w:ascii="Cambria" w:hAnsi="Cambria"/>
                <w:color w:val="000000" w:themeColor="text1"/>
                <w:lang w:val="en-US"/>
              </w:rPr>
            </w:pPr>
            <w:r w:rsidRPr="008D17AB">
              <w:rPr>
                <w:rFonts w:ascii="Cambria" w:hAnsi="Cambria"/>
                <w:color w:val="000000" w:themeColor="text1"/>
                <w:lang w:val="en-US"/>
              </w:rPr>
              <w:t>Proposed Actuarial Software must have OEM’s product support facility in India</w:t>
            </w:r>
          </w:p>
        </w:tc>
        <w:tc>
          <w:tcPr>
            <w:tcW w:w="4050" w:type="dxa"/>
            <w:vAlign w:val="center"/>
          </w:tcPr>
          <w:p w:rsidR="008D17AB" w:rsidRPr="008D17AB" w:rsidRDefault="008D17AB" w:rsidP="00043B57">
            <w:pPr>
              <w:spacing w:line="259" w:lineRule="auto"/>
              <w:rPr>
                <w:rFonts w:ascii="Cambria" w:hAnsi="Cambria"/>
                <w:color w:val="000000" w:themeColor="text1"/>
                <w:lang w:val="en-US"/>
              </w:rPr>
            </w:pPr>
          </w:p>
        </w:tc>
      </w:tr>
      <w:tr w:rsidR="008D17AB" w:rsidRPr="008D17AB" w:rsidTr="009558D5">
        <w:trPr>
          <w:trHeight w:val="2160"/>
        </w:trPr>
        <w:tc>
          <w:tcPr>
            <w:tcW w:w="528"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9</w:t>
            </w:r>
          </w:p>
        </w:tc>
        <w:tc>
          <w:tcPr>
            <w:tcW w:w="1553" w:type="dxa"/>
            <w:vAlign w:val="center"/>
          </w:tcPr>
          <w:p w:rsidR="008D17AB" w:rsidRPr="008D17AB" w:rsidRDefault="008D17AB" w:rsidP="00043B57">
            <w:pPr>
              <w:spacing w:line="259" w:lineRule="auto"/>
              <w:jc w:val="center"/>
              <w:rPr>
                <w:rFonts w:ascii="Cambria" w:hAnsi="Cambria"/>
                <w:color w:val="000000" w:themeColor="text1"/>
                <w:lang w:val="en-US"/>
              </w:rPr>
            </w:pPr>
            <w:r w:rsidRPr="008D17AB">
              <w:rPr>
                <w:rFonts w:ascii="Cambria" w:hAnsi="Cambria"/>
                <w:color w:val="000000" w:themeColor="text1"/>
                <w:lang w:val="en-US"/>
              </w:rPr>
              <w:t>Technical Resources.</w:t>
            </w:r>
          </w:p>
        </w:tc>
        <w:tc>
          <w:tcPr>
            <w:tcW w:w="3949" w:type="dxa"/>
            <w:vAlign w:val="center"/>
          </w:tcPr>
          <w:p w:rsidR="008D17AB" w:rsidRPr="008D17AB" w:rsidRDefault="008D17AB" w:rsidP="009558D5">
            <w:pPr>
              <w:spacing w:line="259" w:lineRule="auto"/>
              <w:jc w:val="both"/>
              <w:rPr>
                <w:rFonts w:ascii="Cambria" w:hAnsi="Cambria"/>
                <w:color w:val="000000" w:themeColor="text1"/>
                <w:lang w:val="en-US"/>
              </w:rPr>
            </w:pPr>
            <w:r w:rsidRPr="008D17AB">
              <w:rPr>
                <w:rFonts w:ascii="Cambria" w:hAnsi="Cambria"/>
                <w:color w:val="000000" w:themeColor="text1"/>
                <w:lang w:val="en-US"/>
              </w:rPr>
              <w:t xml:space="preserve">Availability </w:t>
            </w:r>
            <w:r w:rsidRPr="00043B57">
              <w:rPr>
                <w:rFonts w:ascii="Cambria" w:hAnsi="Cambria"/>
                <w:color w:val="000000" w:themeColor="text1"/>
                <w:lang w:val="en-US"/>
              </w:rPr>
              <w:t>of Technical</w:t>
            </w:r>
            <w:r w:rsidR="00CF6664">
              <w:rPr>
                <w:rFonts w:ascii="Cambria" w:hAnsi="Cambria"/>
                <w:color w:val="000000" w:themeColor="text1"/>
                <w:lang w:val="en-US"/>
              </w:rPr>
              <w:t xml:space="preserve"> </w:t>
            </w:r>
            <w:r w:rsidRPr="00043B57">
              <w:rPr>
                <w:rFonts w:ascii="Cambria" w:hAnsi="Cambria"/>
                <w:color w:val="000000" w:themeColor="text1"/>
                <w:lang w:val="en-US"/>
              </w:rPr>
              <w:t>Consultants for implementation</w:t>
            </w:r>
            <w:r w:rsidR="00CF6664">
              <w:rPr>
                <w:rFonts w:ascii="Cambria" w:hAnsi="Cambria"/>
                <w:color w:val="000000" w:themeColor="text1"/>
                <w:lang w:val="en-US"/>
              </w:rPr>
              <w:t xml:space="preserve"> </w:t>
            </w:r>
            <w:bookmarkStart w:id="0" w:name="_GoBack"/>
            <w:bookmarkEnd w:id="0"/>
            <w:r w:rsidRPr="00043B57">
              <w:rPr>
                <w:rFonts w:ascii="Cambria" w:hAnsi="Cambria"/>
                <w:color w:val="000000" w:themeColor="text1"/>
                <w:lang w:val="en-US"/>
              </w:rPr>
              <w:t>and integration from</w:t>
            </w:r>
            <w:r w:rsidRPr="008D17AB">
              <w:rPr>
                <w:rFonts w:ascii="Cambria" w:hAnsi="Cambria"/>
                <w:color w:val="000000" w:themeColor="text1"/>
                <w:lang w:val="en-US"/>
              </w:rPr>
              <w:t xml:space="preserve"> Third Party System Implementation Agencies/ Actuarial Services/</w:t>
            </w:r>
            <w:r w:rsidRPr="00043B57">
              <w:rPr>
                <w:rFonts w:ascii="Cambria" w:hAnsi="Cambria"/>
                <w:color w:val="000000" w:themeColor="text1"/>
                <w:lang w:val="en-US"/>
              </w:rPr>
              <w:t>Consulting firms in</w:t>
            </w:r>
            <w:r w:rsidRPr="008D17AB">
              <w:rPr>
                <w:rFonts w:ascii="Cambria" w:hAnsi="Cambria"/>
                <w:color w:val="000000" w:themeColor="text1"/>
                <w:lang w:val="en-US"/>
              </w:rPr>
              <w:t xml:space="preserve"> India having experience with the proposed software </w:t>
            </w:r>
          </w:p>
        </w:tc>
        <w:tc>
          <w:tcPr>
            <w:tcW w:w="4050" w:type="dxa"/>
            <w:vAlign w:val="center"/>
          </w:tcPr>
          <w:p w:rsidR="008D17AB" w:rsidRPr="008D17AB" w:rsidRDefault="008D17AB" w:rsidP="00043B57">
            <w:pPr>
              <w:spacing w:line="259" w:lineRule="auto"/>
              <w:rPr>
                <w:rFonts w:ascii="Cambria" w:hAnsi="Cambria"/>
                <w:color w:val="000000" w:themeColor="text1"/>
                <w:lang w:val="en-US"/>
              </w:rPr>
            </w:pPr>
          </w:p>
        </w:tc>
      </w:tr>
    </w:tbl>
    <w:p w:rsidR="00206263" w:rsidRDefault="00206263" w:rsidP="00206263">
      <w:pPr>
        <w:spacing w:after="0"/>
        <w:rPr>
          <w:rFonts w:ascii="Cambria" w:hAnsi="Cambria"/>
          <w:lang w:val="en-US"/>
        </w:rPr>
      </w:pPr>
    </w:p>
    <w:p w:rsidR="006E62D7" w:rsidRDefault="006E62D7" w:rsidP="00206263">
      <w:pPr>
        <w:spacing w:after="0"/>
        <w:rPr>
          <w:rFonts w:ascii="Cambria" w:hAnsi="Cambria"/>
          <w:lang w:val="en-US"/>
        </w:rPr>
      </w:pPr>
    </w:p>
    <w:p w:rsidR="006E62D7" w:rsidRDefault="006E62D7" w:rsidP="00206263">
      <w:pPr>
        <w:spacing w:after="0"/>
        <w:rPr>
          <w:rFonts w:ascii="Cambria" w:hAnsi="Cambria"/>
          <w:lang w:val="en-US"/>
        </w:rPr>
      </w:pPr>
    </w:p>
    <w:p w:rsidR="009558D5" w:rsidRDefault="009558D5" w:rsidP="00206263">
      <w:pPr>
        <w:spacing w:after="0"/>
        <w:rPr>
          <w:rFonts w:ascii="Cambria" w:hAnsi="Cambria"/>
          <w:lang w:val="en-US"/>
        </w:rPr>
      </w:pPr>
    </w:p>
    <w:p w:rsidR="006E62D7" w:rsidRDefault="006E62D7" w:rsidP="00206263">
      <w:pPr>
        <w:spacing w:after="0"/>
        <w:rPr>
          <w:rFonts w:ascii="Cambria" w:hAnsi="Cambria"/>
          <w:lang w:val="en-US"/>
        </w:rPr>
      </w:pPr>
      <w:r>
        <w:rPr>
          <w:rFonts w:ascii="Cambria" w:hAnsi="Cambria"/>
          <w:lang w:val="en-US"/>
        </w:rPr>
        <w:t xml:space="preserve">Authorized Signatory of the Bidder </w:t>
      </w:r>
    </w:p>
    <w:p w:rsidR="006E62D7" w:rsidRDefault="006E62D7" w:rsidP="00206263">
      <w:pPr>
        <w:spacing w:after="0"/>
        <w:rPr>
          <w:rFonts w:ascii="Cambria" w:hAnsi="Cambria"/>
          <w:lang w:val="en-US"/>
        </w:rPr>
      </w:pPr>
      <w:r>
        <w:rPr>
          <w:rFonts w:ascii="Cambria" w:hAnsi="Cambria"/>
          <w:lang w:val="en-US"/>
        </w:rPr>
        <w:lastRenderedPageBreak/>
        <w:t>(</w:t>
      </w:r>
      <w:proofErr w:type="gramStart"/>
      <w:r>
        <w:rPr>
          <w:rFonts w:ascii="Cambria" w:hAnsi="Cambria"/>
          <w:lang w:val="en-US"/>
        </w:rPr>
        <w:t>with</w:t>
      </w:r>
      <w:proofErr w:type="gramEnd"/>
      <w:r>
        <w:rPr>
          <w:rFonts w:ascii="Cambria" w:hAnsi="Cambria"/>
          <w:lang w:val="en-US"/>
        </w:rPr>
        <w:t xml:space="preserve"> stamp or digital signature)</w:t>
      </w:r>
    </w:p>
    <w:p w:rsidR="006E62D7" w:rsidRDefault="006E62D7" w:rsidP="00206263">
      <w:pPr>
        <w:spacing w:after="0"/>
        <w:rPr>
          <w:rFonts w:ascii="Cambria" w:hAnsi="Cambria"/>
          <w:lang w:val="en-US"/>
        </w:rPr>
      </w:pPr>
    </w:p>
    <w:p w:rsidR="00043B57" w:rsidRDefault="006E62D7" w:rsidP="00043B57">
      <w:pPr>
        <w:spacing w:after="0"/>
        <w:rPr>
          <w:rFonts w:ascii="Cambria" w:hAnsi="Cambria"/>
          <w:lang w:val="en-US"/>
        </w:rPr>
      </w:pPr>
      <w:r>
        <w:rPr>
          <w:rFonts w:ascii="Cambria" w:hAnsi="Cambria"/>
          <w:lang w:val="en-US"/>
        </w:rPr>
        <w:t>Name:</w:t>
      </w:r>
      <w:r w:rsidR="00043B57">
        <w:rPr>
          <w:rFonts w:ascii="Cambria" w:hAnsi="Cambria"/>
          <w:lang w:val="en-US"/>
        </w:rPr>
        <w:tab/>
      </w:r>
      <w:r w:rsidR="00043B57">
        <w:rPr>
          <w:rFonts w:ascii="Cambria" w:hAnsi="Cambria"/>
          <w:lang w:val="en-US"/>
        </w:rPr>
        <w:tab/>
      </w:r>
      <w:r w:rsidR="00043B57">
        <w:rPr>
          <w:rFonts w:ascii="Cambria" w:hAnsi="Cambria"/>
          <w:lang w:val="en-US"/>
        </w:rPr>
        <w:tab/>
      </w:r>
      <w:r w:rsidR="00043B57">
        <w:rPr>
          <w:rFonts w:ascii="Cambria" w:hAnsi="Cambria"/>
          <w:lang w:val="en-US"/>
        </w:rPr>
        <w:tab/>
      </w:r>
      <w:r w:rsidR="00043B57">
        <w:rPr>
          <w:rFonts w:ascii="Cambria" w:hAnsi="Cambria"/>
          <w:lang w:val="en-US"/>
        </w:rPr>
        <w:tab/>
      </w:r>
      <w:r w:rsidR="00043B57">
        <w:rPr>
          <w:rFonts w:ascii="Cambria" w:hAnsi="Cambria"/>
          <w:lang w:val="en-US"/>
        </w:rPr>
        <w:tab/>
      </w:r>
      <w:r w:rsidR="00043B57">
        <w:rPr>
          <w:rFonts w:ascii="Cambria" w:hAnsi="Cambria"/>
          <w:lang w:val="en-US"/>
        </w:rPr>
        <w:tab/>
      </w:r>
      <w:r w:rsidR="00043B57">
        <w:rPr>
          <w:rFonts w:ascii="Cambria" w:hAnsi="Cambria"/>
          <w:lang w:val="en-US"/>
        </w:rPr>
        <w:tab/>
      </w:r>
      <w:r w:rsidR="00043B57">
        <w:rPr>
          <w:rFonts w:ascii="Cambria" w:hAnsi="Cambria"/>
          <w:lang w:val="en-US"/>
        </w:rPr>
        <w:tab/>
      </w:r>
      <w:r w:rsidR="00043B57">
        <w:rPr>
          <w:rFonts w:ascii="Cambria" w:hAnsi="Cambria"/>
          <w:lang w:val="en-US"/>
        </w:rPr>
        <w:tab/>
        <w:t>Place:</w:t>
      </w:r>
    </w:p>
    <w:p w:rsidR="00043B57" w:rsidRPr="0000051E" w:rsidRDefault="00043B57" w:rsidP="00043B57">
      <w:pPr>
        <w:spacing w:after="0"/>
        <w:rPr>
          <w:rFonts w:ascii="Cambria" w:hAnsi="Cambria"/>
          <w:lang w:val="en-US"/>
        </w:rPr>
      </w:pPr>
      <w:r>
        <w:rPr>
          <w:rFonts w:ascii="Cambria" w:hAnsi="Cambria"/>
          <w:lang w:val="en-US"/>
        </w:rPr>
        <w:t>Designation:</w:t>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t xml:space="preserve">Date: </w:t>
      </w:r>
    </w:p>
    <w:p w:rsidR="00043B57" w:rsidRPr="0000051E" w:rsidRDefault="00043B57">
      <w:pPr>
        <w:spacing w:after="0"/>
        <w:rPr>
          <w:rFonts w:ascii="Cambria" w:hAnsi="Cambria"/>
          <w:lang w:val="en-US"/>
        </w:rPr>
      </w:pPr>
    </w:p>
    <w:sectPr w:rsidR="00043B57" w:rsidRPr="0000051E" w:rsidSect="006E62D7">
      <w:headerReference w:type="default" r:id="rId7"/>
      <w:footerReference w:type="default" r:id="rId8"/>
      <w:pgSz w:w="11906" w:h="16838"/>
      <w:pgMar w:top="1440" w:right="1440" w:bottom="1440" w:left="1440" w:header="1008"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296" w:rsidRDefault="00382296" w:rsidP="0000051E">
      <w:pPr>
        <w:spacing w:after="0" w:line="240" w:lineRule="auto"/>
      </w:pPr>
      <w:r>
        <w:separator/>
      </w:r>
    </w:p>
  </w:endnote>
  <w:endnote w:type="continuationSeparator" w:id="0">
    <w:p w:rsidR="00382296" w:rsidRDefault="00382296"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rsidR="00043B57" w:rsidRDefault="00043B57">
            <w:pPr>
              <w:pStyle w:val="Footer"/>
              <w:jc w:val="right"/>
            </w:pPr>
            <w:r w:rsidRPr="00043B57">
              <w:rPr>
                <w:rFonts w:ascii="Cambria" w:hAnsi="Cambria"/>
                <w:color w:val="0070C0"/>
                <w:sz w:val="20"/>
                <w:szCs w:val="20"/>
              </w:rPr>
              <w:t xml:space="preserve">Page </w:t>
            </w:r>
            <w:r w:rsidR="001F2601"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001F2601" w:rsidRPr="00043B57">
              <w:rPr>
                <w:rFonts w:ascii="Cambria" w:hAnsi="Cambria"/>
                <w:b/>
                <w:bCs/>
                <w:color w:val="0070C0"/>
                <w:sz w:val="20"/>
                <w:szCs w:val="20"/>
              </w:rPr>
              <w:fldChar w:fldCharType="separate"/>
            </w:r>
            <w:r w:rsidR="00CF6664">
              <w:rPr>
                <w:rFonts w:ascii="Cambria" w:hAnsi="Cambria"/>
                <w:b/>
                <w:bCs/>
                <w:noProof/>
                <w:color w:val="0070C0"/>
                <w:sz w:val="20"/>
                <w:szCs w:val="20"/>
              </w:rPr>
              <w:t>2</w:t>
            </w:r>
            <w:r w:rsidR="001F2601"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001F2601"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001F2601" w:rsidRPr="00043B57">
              <w:rPr>
                <w:rFonts w:ascii="Cambria" w:hAnsi="Cambria"/>
                <w:b/>
                <w:bCs/>
                <w:color w:val="0070C0"/>
                <w:sz w:val="20"/>
                <w:szCs w:val="20"/>
              </w:rPr>
              <w:fldChar w:fldCharType="separate"/>
            </w:r>
            <w:r w:rsidR="00CF6664">
              <w:rPr>
                <w:rFonts w:ascii="Cambria" w:hAnsi="Cambria"/>
                <w:b/>
                <w:bCs/>
                <w:noProof/>
                <w:color w:val="0070C0"/>
                <w:sz w:val="20"/>
                <w:szCs w:val="20"/>
              </w:rPr>
              <w:t>3</w:t>
            </w:r>
            <w:r w:rsidR="001F2601" w:rsidRPr="00043B57">
              <w:rPr>
                <w:rFonts w:ascii="Cambria" w:hAnsi="Cambria"/>
                <w:b/>
                <w:bCs/>
                <w:color w:val="0070C0"/>
                <w:sz w:val="20"/>
                <w:szCs w:val="20"/>
              </w:rPr>
              <w:fldChar w:fldCharType="end"/>
            </w:r>
          </w:p>
        </w:sdtContent>
      </w:sdt>
    </w:sdtContent>
  </w:sdt>
  <w:p w:rsidR="00043B57" w:rsidRPr="00043B57" w:rsidRDefault="00043B57" w:rsidP="00043B57">
    <w:pPr>
      <w:pStyle w:val="Footer"/>
      <w:ind w:left="-540"/>
      <w:rPr>
        <w:color w:val="BFBFBF" w:themeColor="background1" w:themeShade="BF"/>
      </w:rPr>
    </w:pPr>
    <w:r w:rsidRPr="00043B57">
      <w:rPr>
        <w:rFonts w:ascii="Cambria" w:hAnsi="Cambria"/>
        <w:b/>
        <w:bCs/>
        <w:color w:val="BFBFBF" w:themeColor="background1" w:themeShade="BF"/>
        <w:lang w:val="en-US"/>
      </w:rPr>
      <w:t>Ref: CO/</w:t>
    </w:r>
    <w:proofErr w:type="spellStart"/>
    <w:r w:rsidRPr="00043B57">
      <w:rPr>
        <w:rFonts w:ascii="Cambria" w:hAnsi="Cambria"/>
        <w:b/>
        <w:bCs/>
        <w:color w:val="BFBFBF" w:themeColor="background1" w:themeShade="BF"/>
        <w:lang w:val="en-US"/>
      </w:rPr>
      <w:t>Actl</w:t>
    </w:r>
    <w:proofErr w:type="spellEnd"/>
    <w:r w:rsidRPr="00043B57">
      <w:rPr>
        <w:rFonts w:ascii="Cambria" w:hAnsi="Cambria"/>
        <w:b/>
        <w:bCs/>
        <w:color w:val="BFBFBF" w:themeColor="background1" w:themeShade="BF"/>
        <w:lang w:val="en-US"/>
      </w:rPr>
      <w:t>/2021/AS-202011/A</w:t>
    </w:r>
    <w:r w:rsidR="009558D5">
      <w:rPr>
        <w:rFonts w:ascii="Cambria" w:hAnsi="Cambria"/>
        <w:b/>
        <w:bCs/>
        <w:color w:val="BFBFBF" w:themeColor="background1" w:themeShade="BF"/>
        <w:lang w:val="en-US"/>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296" w:rsidRDefault="00382296" w:rsidP="0000051E">
      <w:pPr>
        <w:spacing w:after="0" w:line="240" w:lineRule="auto"/>
      </w:pPr>
      <w:r>
        <w:separator/>
      </w:r>
    </w:p>
  </w:footnote>
  <w:footnote w:type="continuationSeparator" w:id="0">
    <w:p w:rsidR="00382296" w:rsidRDefault="00382296"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1E" w:rsidRDefault="0000051E" w:rsidP="0000051E">
    <w:pPr>
      <w:tabs>
        <w:tab w:val="left" w:pos="3645"/>
      </w:tabs>
      <w:ind w:left="-567"/>
      <w:jc w:val="center"/>
      <w:rPr>
        <w:rFonts w:ascii="Cambria" w:hAnsi="Cambria"/>
        <w:b/>
        <w:sz w:val="18"/>
      </w:rPr>
    </w:pPr>
    <w:r>
      <w:rPr>
        <w:noProof/>
        <w:lang w:eastAsia="en-IN"/>
      </w:rPr>
      <w:drawing>
        <wp:anchor distT="0" distB="0" distL="114300" distR="114300" simplePos="0" relativeHeight="251658240" behindDoc="1" locked="0" layoutInCell="1" allowOverlap="1" wp14:anchorId="68B73708" wp14:editId="57C716CE">
          <wp:simplePos x="0" y="0"/>
          <wp:positionH relativeFrom="column">
            <wp:posOffset>-411480</wp:posOffset>
          </wp:positionH>
          <wp:positionV relativeFrom="topMargin">
            <wp:posOffset>436880</wp:posOffset>
          </wp:positionV>
          <wp:extent cx="1172210" cy="609600"/>
          <wp:effectExtent l="0" t="0" r="8890" b="0"/>
          <wp:wrapTight wrapText="bothSides">
            <wp:wrapPolygon edited="0">
              <wp:start x="0" y="0"/>
              <wp:lineTo x="0" y="20925"/>
              <wp:lineTo x="21413" y="20925"/>
              <wp:lineTo x="214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72210" cy="609600"/>
                  </a:xfrm>
                  <a:prstGeom prst="rect">
                    <a:avLst/>
                  </a:prstGeom>
                </pic:spPr>
              </pic:pic>
            </a:graphicData>
          </a:graphic>
        </wp:anchor>
      </w:drawing>
    </w:r>
  </w:p>
  <w:p w:rsidR="0000051E" w:rsidRDefault="00382296" w:rsidP="0000051E">
    <w:pPr>
      <w:tabs>
        <w:tab w:val="left" w:pos="3645"/>
      </w:tabs>
      <w:ind w:left="-567"/>
      <w:jc w:val="center"/>
      <w:rPr>
        <w:rFonts w:ascii="Cambria" w:hAnsi="Cambria"/>
        <w:b/>
        <w:sz w:val="18"/>
      </w:rPr>
    </w:pPr>
    <w:r>
      <w:rPr>
        <w:rFonts w:ascii="Cambria" w:hAnsi="Cambria"/>
        <w:b/>
        <w:noProof/>
        <w:sz w:val="18"/>
      </w:rPr>
      <w:pict>
        <v:line id="Straight Connector 8" o:spid="_x0000_s2049" style="position:absolute;left:0;text-align:left;flip:y;z-index:251659264;visibility:visible;mso-wrap-distance-top:-1e-4mm;mso-wrap-distance-bottom:-1e-4mm" from="-34.8pt,14.8pt" to="4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" strokecolor="#4a7ebb" strokeweight="1.5pt">
          <o:lock v:ext="edit" shapetype="f"/>
        </v:line>
      </w:pict>
    </w:r>
  </w:p>
  <w:p w:rsidR="0000051E" w:rsidRPr="0000051E" w:rsidRDefault="0000051E" w:rsidP="0000051E">
    <w:pPr>
      <w:tabs>
        <w:tab w:val="left" w:pos="3645"/>
      </w:tabs>
      <w:ind w:left="-567"/>
      <w:jc w:val="center"/>
      <w:rPr>
        <w:rFonts w:asciiTheme="majorHAnsi" w:hAnsiTheme="majorHAnsi"/>
        <w:b/>
        <w:sz w:val="18"/>
      </w:rPr>
    </w:pPr>
    <w:r w:rsidRPr="00DD7D0C">
      <w:rPr>
        <w:rFonts w:ascii="Cambria" w:hAnsi="Cambria"/>
        <w:b/>
        <w:sz w:val="18"/>
      </w:rPr>
      <w:t>Information Technology/SD – Central Office, ‘</w:t>
    </w:r>
    <w:proofErr w:type="spellStart"/>
    <w:r w:rsidRPr="00DD7D0C">
      <w:rPr>
        <w:rFonts w:ascii="Cambria" w:hAnsi="Cambria"/>
        <w:b/>
        <w:sz w:val="18"/>
      </w:rPr>
      <w:t>Yogakshema</w:t>
    </w:r>
    <w:proofErr w:type="spellEnd"/>
    <w:r w:rsidRPr="00DD7D0C">
      <w:rPr>
        <w:rFonts w:ascii="Cambria" w:hAnsi="Cambria"/>
        <w:b/>
        <w:sz w:val="18"/>
      </w:rPr>
      <w:t xml:space="preserve">’, </w:t>
    </w:r>
    <w:proofErr w:type="spellStart"/>
    <w:r w:rsidRPr="00DD7D0C">
      <w:rPr>
        <w:rFonts w:ascii="Cambria" w:hAnsi="Cambria"/>
        <w:b/>
        <w:sz w:val="18"/>
      </w:rPr>
      <w:t>Jeevan</w:t>
    </w:r>
    <w:proofErr w:type="spellEnd"/>
    <w:r w:rsidR="004E7493">
      <w:rPr>
        <w:rFonts w:ascii="Cambria" w:hAnsi="Cambria"/>
        <w:b/>
        <w:sz w:val="18"/>
      </w:rPr>
      <w:t xml:space="preserve"> </w:t>
    </w:r>
    <w:proofErr w:type="spellStart"/>
    <w:r w:rsidRPr="00DD7D0C">
      <w:rPr>
        <w:rFonts w:ascii="Cambria" w:hAnsi="Cambria"/>
        <w:b/>
        <w:sz w:val="18"/>
      </w:rPr>
      <w:t>Bima</w:t>
    </w:r>
    <w:proofErr w:type="spellEnd"/>
    <w:r w:rsidR="004E7493">
      <w:rPr>
        <w:rFonts w:ascii="Cambria" w:hAnsi="Cambria"/>
        <w:b/>
        <w:sz w:val="18"/>
      </w:rPr>
      <w:t xml:space="preserve"> </w:t>
    </w:r>
    <w:proofErr w:type="spellStart"/>
    <w:r w:rsidRPr="00DD7D0C">
      <w:rPr>
        <w:rFonts w:ascii="Cambria" w:hAnsi="Cambria"/>
        <w:b/>
        <w:sz w:val="18"/>
      </w:rPr>
      <w:t>Marg</w:t>
    </w:r>
    <w:proofErr w:type="spellEnd"/>
    <w:r w:rsidRPr="00DD7D0C">
      <w:rPr>
        <w:rFonts w:ascii="Cambria" w:hAnsi="Cambria"/>
        <w:b/>
        <w:sz w:val="18"/>
      </w:rPr>
      <w:t>, P. B. No. 19953, Mumbai - 400021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0051E"/>
    <w:rsid w:val="0000051E"/>
    <w:rsid w:val="00043B57"/>
    <w:rsid w:val="001F2601"/>
    <w:rsid w:val="00206263"/>
    <w:rsid w:val="002E7D31"/>
    <w:rsid w:val="00382296"/>
    <w:rsid w:val="00386EA6"/>
    <w:rsid w:val="004E4556"/>
    <w:rsid w:val="004E7493"/>
    <w:rsid w:val="006309AF"/>
    <w:rsid w:val="006E62D7"/>
    <w:rsid w:val="007878A5"/>
    <w:rsid w:val="008651E0"/>
    <w:rsid w:val="008D17AB"/>
    <w:rsid w:val="009558D5"/>
    <w:rsid w:val="00B77841"/>
    <w:rsid w:val="00BF5CDA"/>
    <w:rsid w:val="00C5248B"/>
    <w:rsid w:val="00CF6664"/>
    <w:rsid w:val="00F360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6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Saurav Ganguli</dc:creator>
  <cp:lastModifiedBy>H Nanda</cp:lastModifiedBy>
  <cp:revision>12</cp:revision>
  <dcterms:created xsi:type="dcterms:W3CDTF">2020-11-18T16:20:00Z</dcterms:created>
  <dcterms:modified xsi:type="dcterms:W3CDTF">2020-11-22T08:17:00Z</dcterms:modified>
</cp:coreProperties>
</file>